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6BDF704A" w:rsidR="00B413A4" w:rsidRDefault="00000000">
      <w:pPr>
        <w:tabs>
          <w:tab w:val="center" w:pos="4536"/>
          <w:tab w:val="right" w:pos="7938"/>
          <w:tab w:val="right" w:pos="9639"/>
        </w:tabs>
        <w:ind w:right="2"/>
        <w:rPr>
          <w:b/>
          <w:bCs/>
          <w:sz w:val="28"/>
          <w:lang w:val="en-US" w:eastAsia="zh-CN"/>
        </w:rPr>
      </w:pPr>
      <w:r>
        <w:rPr>
          <w:b/>
          <w:bCs/>
          <w:sz w:val="28"/>
        </w:rPr>
        <w:t>3GPP TSG RAN WG1 #11</w:t>
      </w:r>
      <w:r w:rsidR="000F0996">
        <w:rPr>
          <w:b/>
          <w:bCs/>
          <w:sz w:val="28"/>
        </w:rPr>
        <w:t>4</w:t>
      </w:r>
      <w:r w:rsidR="003E7FC3">
        <w:rPr>
          <w:rFonts w:hint="eastAsia"/>
          <w:b/>
          <w:bCs/>
          <w:sz w:val="28"/>
          <w:lang w:eastAsia="zh-CN"/>
        </w:rPr>
        <w:t>bis</w:t>
      </w:r>
      <w:r>
        <w:rPr>
          <w:b/>
          <w:bCs/>
          <w:sz w:val="28"/>
        </w:rPr>
        <w:tab/>
      </w:r>
      <w:r>
        <w:rPr>
          <w:b/>
          <w:bCs/>
          <w:sz w:val="28"/>
        </w:rPr>
        <w:tab/>
      </w:r>
      <w:r>
        <w:rPr>
          <w:b/>
          <w:bCs/>
          <w:sz w:val="28"/>
        </w:rPr>
        <w:tab/>
      </w:r>
      <w:r w:rsidR="007C16CC" w:rsidRPr="007C16CC">
        <w:rPr>
          <w:b/>
          <w:bCs/>
          <w:sz w:val="28"/>
        </w:rPr>
        <w:t>R1-2309655</w:t>
      </w:r>
    </w:p>
    <w:p w14:paraId="61B59631" w14:textId="4472FF61" w:rsidR="00B413A4" w:rsidRDefault="003E7FC3">
      <w:pPr>
        <w:rPr>
          <w:rFonts w:eastAsia="MS Mincho"/>
          <w:b/>
          <w:bCs/>
          <w:sz w:val="28"/>
        </w:rPr>
      </w:pPr>
      <w:r w:rsidRPr="003E7FC3">
        <w:rPr>
          <w:rFonts w:eastAsia="MS Mincho"/>
          <w:b/>
          <w:bCs/>
          <w:sz w:val="28"/>
        </w:rPr>
        <w:t>Xiamen, China, October 9th – October 13th, 2023</w:t>
      </w:r>
    </w:p>
    <w:p w14:paraId="7081CB7D" w14:textId="77777777" w:rsidR="003E7FC3" w:rsidRDefault="003E7FC3"/>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B10065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29437C" w:rsidRPr="0029437C">
        <w:rPr>
          <w:rFonts w:ascii="Times New Roman" w:hAnsi="Times New Roman"/>
          <w:sz w:val="24"/>
          <w:szCs w:val="24"/>
          <w:lang w:val="en-US"/>
        </w:rPr>
        <w:t>Discussion on LS on XR capacity enhancements</w:t>
      </w:r>
    </w:p>
    <w:p w14:paraId="7CAA1EB1"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5</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5A9B6524" w14:textId="53C8F2B9" w:rsidR="00C221EF" w:rsidRDefault="00C221EF">
      <w:pPr>
        <w:overflowPunct w:val="0"/>
        <w:autoSpaceDE w:val="0"/>
        <w:autoSpaceDN w:val="0"/>
        <w:adjustRightInd w:val="0"/>
        <w:spacing w:before="0"/>
        <w:ind w:right="-99"/>
        <w:jc w:val="both"/>
        <w:rPr>
          <w:color w:val="000000"/>
          <w:lang w:val="en-US" w:eastAsia="zh-CN"/>
        </w:rPr>
      </w:pPr>
      <w:r>
        <w:rPr>
          <w:color w:val="000000"/>
          <w:lang w:val="en-US" w:eastAsia="zh-CN"/>
        </w:rPr>
        <w:t xml:space="preserve">RAN2 provides some feedback on </w:t>
      </w:r>
      <w:r>
        <w:t>RAN1’s LS for agreeing on RAN2 specification impact of HARQ process ID determination for multi-PUSCH configured grant in their LS [1]</w:t>
      </w:r>
      <w:r w:rsidR="0067257E">
        <w:t xml:space="preserve"> </w:t>
      </w:r>
      <w:r w:rsidR="0067257E">
        <w:rPr>
          <w:rFonts w:hint="eastAsia"/>
          <w:lang w:eastAsia="zh-CN"/>
        </w:rPr>
        <w:t>and</w:t>
      </w:r>
      <w:r w:rsidR="0067257E">
        <w:t xml:space="preserve"> one question about the valid PUSCH definition in RAN1’s spec</w:t>
      </w:r>
      <w:r w:rsidR="00D35094">
        <w:t>ification</w:t>
      </w:r>
      <w:r>
        <w:t>. In this contribution, we will discuss the reply to RAN2’s question.</w:t>
      </w:r>
    </w:p>
    <w:p w14:paraId="084EEEEE" w14:textId="77777777" w:rsidR="00B413A4"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7B83AEF" w14:textId="7A29DCE1" w:rsidR="00CC1602" w:rsidRPr="00647994" w:rsidRDefault="00000000" w:rsidP="00647994">
      <w:pPr>
        <w:jc w:val="both"/>
        <w:rPr>
          <w:rFonts w:eastAsiaTheme="minorEastAsia"/>
          <w:lang w:eastAsia="zh-CN"/>
        </w:rPr>
      </w:pPr>
      <w:r>
        <w:rPr>
          <w:rFonts w:eastAsiaTheme="minorEastAsia"/>
          <w:lang w:eastAsia="zh-CN"/>
        </w:rPr>
        <w:t>The following question</w:t>
      </w:r>
      <w:r>
        <w:rPr>
          <w:rFonts w:eastAsiaTheme="minorEastAsia" w:hint="eastAsia"/>
          <w:lang w:val="en-US" w:eastAsia="zh-CN"/>
        </w:rPr>
        <w:t xml:space="preserve"> </w:t>
      </w:r>
      <w:r w:rsidR="00647994">
        <w:rPr>
          <w:rFonts w:eastAsiaTheme="minorEastAsia"/>
          <w:lang w:val="en-US" w:eastAsia="zh-CN"/>
        </w:rPr>
        <w:t>in</w:t>
      </w:r>
      <w:r w:rsidR="009F2F97">
        <w:rPr>
          <w:rFonts w:eastAsiaTheme="minorEastAsia"/>
          <w:lang w:val="en-US" w:eastAsia="zh-CN"/>
        </w:rPr>
        <w:t xml:space="preserve"> RAN2’s</w:t>
      </w:r>
      <w:r w:rsidR="00647994">
        <w:rPr>
          <w:rFonts w:eastAsiaTheme="minorEastAsia"/>
          <w:lang w:val="en-US" w:eastAsia="zh-CN"/>
        </w:rPr>
        <w:t xml:space="preserve"> LS [1] </w:t>
      </w:r>
      <w:r>
        <w:rPr>
          <w:rFonts w:eastAsiaTheme="minorEastAsia"/>
          <w:lang w:eastAsia="zh-CN"/>
        </w:rPr>
        <w:t xml:space="preserve">needs RAN1’s </w:t>
      </w:r>
      <w:r w:rsidR="00647994">
        <w:rPr>
          <w:rFonts w:eastAsiaTheme="minorEastAsia"/>
          <w:lang w:val="en-US" w:eastAsia="zh-CN"/>
        </w:rPr>
        <w:t>feedback</w:t>
      </w:r>
      <w:r>
        <w:rPr>
          <w:rFonts w:eastAsiaTheme="minorEastAsia"/>
          <w:lang w:eastAsia="zh-CN"/>
        </w:rPr>
        <w:t>:</w:t>
      </w:r>
    </w:p>
    <w:p w14:paraId="51B9CEB8" w14:textId="77777777" w:rsidR="00CC1602" w:rsidRDefault="00CC1602" w:rsidP="00CC1602">
      <w:pPr>
        <w:rPr>
          <w:lang w:eastAsia="ko-KR"/>
        </w:rPr>
      </w:pPr>
      <w:r>
        <w:t>2. RAN2 would respectfully request RAN1 to capture the definition of an invalid CG PUSCH as below, and would also like to know where the definition will be captured in the RAN1 specifications (so that RAN2 specifications can refer to that definition).</w:t>
      </w:r>
    </w:p>
    <w:p w14:paraId="603C5843" w14:textId="77777777" w:rsidR="00CC1602" w:rsidRPr="00EB123E" w:rsidRDefault="00CC1602" w:rsidP="00CC1602">
      <w:pPr>
        <w:pBdr>
          <w:top w:val="single" w:sz="4" w:space="1" w:color="auto"/>
          <w:left w:val="single" w:sz="4" w:space="4" w:color="auto"/>
          <w:bottom w:val="single" w:sz="4" w:space="1" w:color="auto"/>
          <w:right w:val="single" w:sz="4" w:space="4" w:color="auto"/>
        </w:pBdr>
        <w:rPr>
          <w:rFonts w:eastAsia="Malgun Gothic"/>
          <w:i/>
          <w:iCs/>
        </w:rPr>
      </w:pPr>
      <w:r w:rsidRPr="00EB123E">
        <w:rPr>
          <w:rFonts w:eastAsia="Malgun Gothic"/>
          <w:i/>
          <w:iCs/>
        </w:rPr>
        <w:t xml:space="preserve">Note: A configured CG PUSCH is invalid if the CG PUSCH is dropped due to collision with DL symbol(s) indicated by </w:t>
      </w:r>
      <w:bookmarkStart w:id="5" w:name="OLE_LINK62"/>
      <w:r w:rsidRPr="00EB123E">
        <w:rPr>
          <w:rFonts w:eastAsia="Malgun Gothic"/>
          <w:i/>
          <w:iCs/>
        </w:rPr>
        <w:t>tdd-UL-DL-ConfigurationCommon or tdd-UL-DL-ConfigurationDedicated</w:t>
      </w:r>
      <w:bookmarkEnd w:id="5"/>
      <w:r w:rsidRPr="00EB123E">
        <w:rPr>
          <w:rFonts w:eastAsia="Malgun Gothic"/>
          <w:i/>
          <w:iCs/>
        </w:rPr>
        <w:t xml:space="preserve"> or SSB.</w:t>
      </w:r>
    </w:p>
    <w:p w14:paraId="49EC5A67" w14:textId="77777777" w:rsidR="00CC1602" w:rsidRPr="00CC1602" w:rsidRDefault="00CC1602">
      <w:pPr>
        <w:jc w:val="both"/>
        <w:rPr>
          <w:rFonts w:eastAsiaTheme="minorEastAsia"/>
          <w:lang w:eastAsia="zh-CN"/>
        </w:rPr>
      </w:pPr>
    </w:p>
    <w:p w14:paraId="6F42B82F" w14:textId="7B6E3645" w:rsidR="00B413A4" w:rsidRDefault="00B5549B" w:rsidP="00B5549B">
      <w:pPr>
        <w:jc w:val="both"/>
        <w:rPr>
          <w:rFonts w:eastAsiaTheme="minorEastAsia"/>
          <w:lang w:eastAsia="zh-CN"/>
        </w:rPr>
      </w:pPr>
      <w:r>
        <w:rPr>
          <w:rFonts w:eastAsiaTheme="minorEastAsia"/>
          <w:lang w:eastAsia="zh-CN"/>
        </w:rPr>
        <w:t xml:space="preserve">The following is captured in TS 38.214 </w:t>
      </w:r>
      <w:r w:rsidR="0002560B">
        <w:rPr>
          <w:rFonts w:eastAsiaTheme="minorEastAsia"/>
          <w:lang w:eastAsia="zh-CN"/>
        </w:rPr>
        <w:t xml:space="preserve">v18.0.0 </w:t>
      </w:r>
      <w:r>
        <w:rPr>
          <w:rFonts w:eastAsiaTheme="minorEastAsia"/>
          <w:lang w:eastAsia="zh-CN"/>
        </w:rPr>
        <w:t>section 6.1 about the definition of invalid CG PUSCH</w:t>
      </w:r>
      <w:r w:rsidR="00865F95">
        <w:rPr>
          <w:rFonts w:eastAsiaTheme="minorEastAsia"/>
          <w:lang w:eastAsia="zh-CN"/>
        </w:rPr>
        <w:t>.</w:t>
      </w:r>
      <w:r>
        <w:rPr>
          <w:rFonts w:eastAsiaTheme="minorEastAsia"/>
          <w:lang w:eastAsia="zh-CN"/>
        </w:rPr>
        <w:t xml:space="preserve"> </w:t>
      </w:r>
      <w:r w:rsidR="00865F95">
        <w:rPr>
          <w:rFonts w:eastAsiaTheme="minorEastAsia"/>
          <w:lang w:eastAsia="zh-CN"/>
        </w:rPr>
        <w:t>A</w:t>
      </w:r>
      <w:r w:rsidR="0010429D">
        <w:rPr>
          <w:rFonts w:eastAsiaTheme="minorEastAsia"/>
          <w:lang w:eastAsia="zh-CN"/>
        </w:rPr>
        <w:t xml:space="preserve">lthough the wording is not the same as the RAN2’s LS, which TS 38.214 further refers </w:t>
      </w:r>
      <w:r w:rsidR="00C35466">
        <w:rPr>
          <w:rFonts w:eastAsiaTheme="minorEastAsia"/>
          <w:lang w:eastAsia="zh-CN"/>
        </w:rPr>
        <w:t xml:space="preserve">to </w:t>
      </w:r>
      <w:r w:rsidR="0010429D">
        <w:rPr>
          <w:rFonts w:eastAsiaTheme="minorEastAsia"/>
          <w:lang w:eastAsia="zh-CN"/>
        </w:rPr>
        <w:t xml:space="preserve">TS 38.213 section 11.1 for the description of collision handling in TDD, the meaning is the same to excluded the DL symbols or SSB for valid CG PUSCH. In addition, the following description is also aligned with other parts in RAN1’s specifications. Therefore, it is not necessary to capture the </w:t>
      </w:r>
      <w:r w:rsidR="0010429D">
        <w:t xml:space="preserve">definition of an invalid CG PUSCH as RAN2’s LS and </w:t>
      </w:r>
      <w:r w:rsidR="0010429D">
        <w:rPr>
          <w:rFonts w:eastAsiaTheme="minorEastAsia"/>
          <w:lang w:eastAsia="zh-CN"/>
        </w:rPr>
        <w:t xml:space="preserve">TS 38.214 </w:t>
      </w:r>
      <w:r>
        <w:rPr>
          <w:rFonts w:eastAsiaTheme="minorEastAsia"/>
          <w:lang w:eastAsia="zh-CN"/>
        </w:rPr>
        <w:t xml:space="preserve">can be </w:t>
      </w:r>
      <w:r w:rsidR="0010429D">
        <w:rPr>
          <w:rFonts w:eastAsiaTheme="minorEastAsia"/>
          <w:lang w:eastAsia="zh-CN"/>
        </w:rPr>
        <w:t>used as</w:t>
      </w:r>
      <w:r>
        <w:rPr>
          <w:rFonts w:eastAsiaTheme="minorEastAsia"/>
          <w:lang w:eastAsia="zh-CN"/>
        </w:rPr>
        <w:t xml:space="preserve"> RAN2</w:t>
      </w:r>
      <w:r w:rsidR="0010429D">
        <w:rPr>
          <w:rFonts w:eastAsiaTheme="minorEastAsia"/>
          <w:lang w:eastAsia="zh-CN"/>
        </w:rPr>
        <w:t xml:space="preserve">’s </w:t>
      </w:r>
      <w:r>
        <w:rPr>
          <w:rFonts w:eastAsiaTheme="minorEastAsia"/>
          <w:lang w:eastAsia="zh-CN"/>
        </w:rPr>
        <w:t>reference</w:t>
      </w:r>
      <w:r w:rsidR="0010429D">
        <w:rPr>
          <w:rFonts w:eastAsiaTheme="minorEastAsia"/>
          <w:lang w:eastAsia="zh-CN"/>
        </w:rPr>
        <w:t>.</w:t>
      </w:r>
    </w:p>
    <w:tbl>
      <w:tblPr>
        <w:tblStyle w:val="afc"/>
        <w:tblW w:w="0" w:type="auto"/>
        <w:tblLook w:val="04A0" w:firstRow="1" w:lastRow="0" w:firstColumn="1" w:lastColumn="0" w:noHBand="0" w:noVBand="1"/>
      </w:tblPr>
      <w:tblGrid>
        <w:gridCol w:w="9629"/>
      </w:tblGrid>
      <w:tr w:rsidR="009C174B" w14:paraId="7FC80F1E" w14:textId="77777777" w:rsidTr="009C174B">
        <w:tc>
          <w:tcPr>
            <w:tcW w:w="9629" w:type="dxa"/>
          </w:tcPr>
          <w:p w14:paraId="50B66185" w14:textId="28C5F634" w:rsidR="009C174B" w:rsidRPr="009C174B" w:rsidRDefault="009C174B" w:rsidP="009C174B">
            <w:pPr>
              <w:rPr>
                <w:rFonts w:eastAsia="MS Mincho"/>
                <w:lang w:val="en-US"/>
              </w:rPr>
            </w:pPr>
            <w:r>
              <w:rPr>
                <w:lang w:val="en-US"/>
              </w:rPr>
              <w:t>When</w:t>
            </w:r>
            <w:r w:rsidRPr="005C5BB8">
              <w:rPr>
                <w:lang w:val="en-US"/>
              </w:rPr>
              <w:t xml:space="preserve"> </w:t>
            </w:r>
            <w:r w:rsidRPr="005C5BB8">
              <w:rPr>
                <w:i/>
                <w:iCs/>
                <w:lang w:val="en-US"/>
              </w:rPr>
              <w:t xml:space="preserve">[nrofSlots_InCGperiod] </w:t>
            </w:r>
            <w:r w:rsidRPr="005C5BB8">
              <w:rPr>
                <w:lang w:val="en-US"/>
              </w:rPr>
              <w:t>is configured for Type 1 configured grant or Type 2 configured grant, HARQ process ID</w:t>
            </w:r>
            <w:r>
              <w:rPr>
                <w:lang w:val="en-US"/>
              </w:rPr>
              <w:t xml:space="preserve"> for the </w:t>
            </w:r>
            <w:r w:rsidRPr="005C5BB8">
              <w:rPr>
                <w:noProof/>
                <w:lang w:val="en-US" w:eastAsia="ko-KR"/>
              </w:rPr>
              <w:t>K</w:t>
            </w:r>
            <w:r w:rsidRPr="005C5BB8">
              <w:rPr>
                <w:noProof/>
                <w:vertAlign w:val="superscript"/>
                <w:lang w:val="en-US" w:eastAsia="ko-KR"/>
              </w:rPr>
              <w:t>th</w:t>
            </w:r>
            <w:r w:rsidRPr="005C5BB8">
              <w:rPr>
                <w:noProof/>
                <w:lang w:val="en-US" w:eastAsia="ko-KR"/>
              </w:rPr>
              <w:t xml:space="preserve"> (1 &lt; K ≤ </w:t>
            </w:r>
            <w:r>
              <w:rPr>
                <w:noProof/>
                <w:lang w:val="en-US" w:eastAsia="ko-KR"/>
              </w:rPr>
              <w:t>[</w:t>
            </w:r>
            <w:r w:rsidRPr="005C5BB8">
              <w:rPr>
                <w:i/>
                <w:iCs/>
                <w:lang w:val="en-US"/>
              </w:rPr>
              <w:t>nrofSlots_InCGperiod</w:t>
            </w:r>
            <w:r>
              <w:rPr>
                <w:i/>
                <w:iCs/>
                <w:noProof/>
                <w:lang w:val="en-US" w:eastAsia="ko-KR"/>
              </w:rPr>
              <w:t>]</w:t>
            </w:r>
            <w:r w:rsidRPr="005C5BB8">
              <w:rPr>
                <w:noProof/>
                <w:lang w:val="en-US" w:eastAsia="ko-KR"/>
              </w:rPr>
              <w:t xml:space="preserve">) </w:t>
            </w:r>
            <w:r w:rsidRPr="00C96374">
              <w:rPr>
                <w:noProof/>
                <w:lang w:val="en-US" w:eastAsia="ko-KR"/>
              </w:rPr>
              <w:t xml:space="preserve">valid configured </w:t>
            </w:r>
            <w:r>
              <w:rPr>
                <w:noProof/>
                <w:lang w:val="en-US" w:eastAsia="ko-KR"/>
              </w:rPr>
              <w:t>PUSCH</w:t>
            </w:r>
            <w:r w:rsidRPr="00C96374">
              <w:rPr>
                <w:noProof/>
                <w:lang w:val="en-US" w:eastAsia="ko-KR"/>
              </w:rPr>
              <w:t xml:space="preserve"> grant</w:t>
            </w:r>
            <w:r w:rsidRPr="005C5BB8" w:rsidDel="00817C7B">
              <w:rPr>
                <w:noProof/>
                <w:lang w:val="en-US" w:eastAsia="ko-KR"/>
              </w:rPr>
              <w:t xml:space="preserve"> </w:t>
            </w:r>
            <w:r w:rsidRPr="005C5BB8">
              <w:rPr>
                <w:lang w:val="en-US"/>
              </w:rPr>
              <w:t>is determined as in clause 5.4.1 of [10, TS 38.321]</w:t>
            </w:r>
            <w:r>
              <w:rPr>
                <w:lang w:val="en-US"/>
              </w:rPr>
              <w:t xml:space="preserve">, </w:t>
            </w:r>
            <w:r w:rsidRPr="00C96374">
              <w:rPr>
                <w:lang w:val="en-US"/>
              </w:rPr>
              <w:t xml:space="preserve">excluding invalid </w:t>
            </w:r>
            <w:r w:rsidRPr="00C96374">
              <w:rPr>
                <w:noProof/>
                <w:lang w:val="en-US" w:eastAsia="ko-KR"/>
              </w:rPr>
              <w:t xml:space="preserve">configured </w:t>
            </w:r>
            <w:r>
              <w:rPr>
                <w:noProof/>
                <w:lang w:val="en-US" w:eastAsia="ko-KR"/>
              </w:rPr>
              <w:t>PUSCH</w:t>
            </w:r>
            <w:r w:rsidRPr="00C96374">
              <w:rPr>
                <w:noProof/>
                <w:lang w:val="en-US" w:eastAsia="ko-KR"/>
              </w:rPr>
              <w:t xml:space="preserve"> grant</w:t>
            </w:r>
            <w:r>
              <w:rPr>
                <w:noProof/>
                <w:lang w:val="en-US" w:eastAsia="ko-KR"/>
              </w:rPr>
              <w:t>(s)</w:t>
            </w:r>
            <w:r w:rsidRPr="00C96374">
              <w:rPr>
                <w:lang w:val="en-US"/>
              </w:rPr>
              <w:t xml:space="preserve"> that are not transmitted as described in clause 11.1 of [6, TS 38.213]</w:t>
            </w:r>
            <w:r>
              <w:rPr>
                <w:lang w:val="en-US"/>
              </w:rPr>
              <w:t>.</w:t>
            </w:r>
          </w:p>
        </w:tc>
      </w:tr>
    </w:tbl>
    <w:p w14:paraId="4614CC5B" w14:textId="77777777" w:rsidR="00B5549B" w:rsidRPr="009C174B" w:rsidRDefault="00B5549B">
      <w:pPr>
        <w:rPr>
          <w:rFonts w:eastAsiaTheme="minorEastAsia"/>
          <w:bCs/>
          <w:lang w:val="en-US" w:eastAsia="zh-CN"/>
        </w:rPr>
      </w:pPr>
    </w:p>
    <w:p w14:paraId="509AC832" w14:textId="4AFFAB3D" w:rsidR="00B413A4" w:rsidRPr="00C65E33" w:rsidRDefault="00000000" w:rsidP="00C65E33">
      <w:pPr>
        <w:jc w:val="both"/>
        <w:rPr>
          <w:b/>
          <w:bCs/>
          <w:lang w:eastAsia="zh-CN"/>
        </w:rPr>
      </w:pPr>
      <w:r>
        <w:rPr>
          <w:rFonts w:eastAsia="MS Mincho"/>
          <w:b/>
        </w:rPr>
        <w:t xml:space="preserve">Proposal </w:t>
      </w:r>
      <w:r>
        <w:rPr>
          <w:rFonts w:hint="eastAsia"/>
          <w:b/>
          <w:lang w:val="en-US" w:eastAsia="zh-CN"/>
        </w:rPr>
        <w:t>1</w:t>
      </w:r>
      <w:r>
        <w:rPr>
          <w:rFonts w:eastAsia="MS Mincho"/>
          <w:b/>
        </w:rPr>
        <w:t xml:space="preserve">. </w:t>
      </w:r>
      <w:r>
        <w:rPr>
          <w:b/>
          <w:bCs/>
          <w:lang w:eastAsia="zh-CN"/>
        </w:rPr>
        <w:t xml:space="preserve">Reply LS to RAN2 </w:t>
      </w:r>
      <w:r w:rsidR="00C65E33">
        <w:rPr>
          <w:b/>
          <w:bCs/>
          <w:lang w:val="en-US" w:eastAsia="zh-CN"/>
        </w:rPr>
        <w:t xml:space="preserve">that </w:t>
      </w:r>
      <w:r w:rsidR="00C65E33">
        <w:rPr>
          <w:b/>
          <w:bCs/>
          <w:lang w:eastAsia="zh-CN"/>
        </w:rPr>
        <w:t>t</w:t>
      </w:r>
      <w:r w:rsidR="007F2552">
        <w:rPr>
          <w:b/>
          <w:bCs/>
          <w:lang w:eastAsia="zh-CN"/>
        </w:rPr>
        <w:t xml:space="preserve">he </w:t>
      </w:r>
      <w:r w:rsidR="007F2552" w:rsidRPr="007F2552">
        <w:rPr>
          <w:b/>
          <w:bCs/>
          <w:lang w:eastAsia="zh-CN"/>
        </w:rPr>
        <w:t>definition of invalid CG PUSCH</w:t>
      </w:r>
      <w:r w:rsidR="007F2552">
        <w:rPr>
          <w:b/>
          <w:bCs/>
          <w:lang w:eastAsia="zh-CN"/>
        </w:rPr>
        <w:t xml:space="preserve"> is captured in TS38.214 section 6.1</w:t>
      </w:r>
      <w:r>
        <w:rPr>
          <w:rFonts w:hint="eastAsia"/>
          <w:b/>
          <w:bCs/>
          <w:lang w:val="en-US" w:eastAsia="zh-CN"/>
        </w:rPr>
        <w:t>.</w:t>
      </w:r>
    </w:p>
    <w:p w14:paraId="5CFF1116" w14:textId="77777777" w:rsidR="00B413A4"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03F5A8D" w14:textId="5F861FC0"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reply </w:t>
      </w:r>
      <w:r>
        <w:rPr>
          <w:lang w:val="en-US" w:eastAsia="zh-CN"/>
        </w:rPr>
        <w:t xml:space="preserve">LS on </w:t>
      </w:r>
      <w:r w:rsidR="00C65E33">
        <w:rPr>
          <w:lang w:val="en-US" w:eastAsia="zh-CN"/>
        </w:rPr>
        <w:t xml:space="preserve">XR capacity </w:t>
      </w:r>
      <w:r w:rsidR="00B261DA">
        <w:rPr>
          <w:lang w:val="en-US" w:eastAsia="zh-CN"/>
        </w:rPr>
        <w:t>enhancement</w:t>
      </w:r>
      <w:r>
        <w:rPr>
          <w:lang w:eastAsia="zh-CN"/>
        </w:rPr>
        <w:t xml:space="preserve">, and the following proposal </w:t>
      </w:r>
      <w:r>
        <w:rPr>
          <w:rFonts w:hint="eastAsia"/>
          <w:lang w:val="en-US" w:eastAsia="zh-CN"/>
        </w:rPr>
        <w:t>is</w:t>
      </w:r>
      <w:r>
        <w:rPr>
          <w:lang w:eastAsia="zh-CN"/>
        </w:rPr>
        <w:t xml:space="preserve"> made.</w:t>
      </w:r>
    </w:p>
    <w:p w14:paraId="30EF8E5D" w14:textId="77777777" w:rsidR="009C5492" w:rsidRPr="009C5492" w:rsidRDefault="009C5492" w:rsidP="009C5492">
      <w:pPr>
        <w:jc w:val="both"/>
        <w:rPr>
          <w:b/>
          <w:bCs/>
          <w:lang w:eastAsia="zh-CN"/>
        </w:rPr>
      </w:pPr>
      <w:r w:rsidRPr="009C5492">
        <w:rPr>
          <w:rFonts w:eastAsia="MS Mincho"/>
          <w:b/>
        </w:rPr>
        <w:t xml:space="preserve">Proposal </w:t>
      </w:r>
      <w:r w:rsidRPr="009C5492">
        <w:rPr>
          <w:rFonts w:hint="eastAsia"/>
          <w:b/>
          <w:lang w:val="en-US" w:eastAsia="zh-CN"/>
        </w:rPr>
        <w:t>1</w:t>
      </w:r>
      <w:r w:rsidRPr="009C5492">
        <w:rPr>
          <w:rFonts w:eastAsia="MS Mincho"/>
          <w:b/>
        </w:rPr>
        <w:t xml:space="preserve">. </w:t>
      </w:r>
      <w:r w:rsidRPr="009C5492">
        <w:rPr>
          <w:b/>
          <w:bCs/>
          <w:lang w:eastAsia="zh-CN"/>
        </w:rPr>
        <w:t xml:space="preserve">Reply LS to RAN2 </w:t>
      </w:r>
      <w:r w:rsidRPr="009C5492">
        <w:rPr>
          <w:b/>
          <w:bCs/>
          <w:lang w:val="en-US" w:eastAsia="zh-CN"/>
        </w:rPr>
        <w:t xml:space="preserve">that </w:t>
      </w:r>
      <w:r w:rsidRPr="009C5492">
        <w:rPr>
          <w:b/>
          <w:bCs/>
          <w:lang w:eastAsia="zh-CN"/>
        </w:rPr>
        <w:t>the definition of invalid CG PUSCH is captured in TS38.214 section 6.1</w:t>
      </w:r>
      <w:r w:rsidRPr="009C5492">
        <w:rPr>
          <w:rFonts w:hint="eastAsia"/>
          <w:b/>
          <w:bCs/>
          <w:lang w:val="en-US" w:eastAsia="zh-CN"/>
        </w:rPr>
        <w:t>.</w:t>
      </w:r>
    </w:p>
    <w:p w14:paraId="256386A6" w14:textId="77777777" w:rsidR="00B413A4"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6314899" w14:textId="4E9201AD" w:rsidR="00B413A4" w:rsidRPr="000F0996" w:rsidRDefault="00CC1602">
      <w:pPr>
        <w:pStyle w:val="aff3"/>
        <w:numPr>
          <w:ilvl w:val="0"/>
          <w:numId w:val="11"/>
        </w:numPr>
        <w:ind w:leftChars="0"/>
        <w:jc w:val="both"/>
        <w:rPr>
          <w:rFonts w:ascii="Times New Roman" w:hAnsi="Times New Roman"/>
          <w:lang w:val="en-US" w:eastAsia="zh-CN"/>
        </w:rPr>
      </w:pPr>
      <w:r w:rsidRPr="00CC1602">
        <w:rPr>
          <w:rFonts w:ascii="Times New Roman" w:hAnsi="Times New Roman"/>
          <w:lang w:val="en-US" w:eastAsia="zh-CN"/>
        </w:rPr>
        <w:t xml:space="preserve">R1-2308825 </w:t>
      </w:r>
      <w:r w:rsidRPr="000F0996">
        <w:rPr>
          <w:rFonts w:ascii="Times New Roman" w:hAnsi="Times New Roman"/>
          <w:lang w:val="en-US" w:eastAsia="zh-CN"/>
        </w:rPr>
        <w:t>(</w:t>
      </w:r>
      <w:r w:rsidRPr="00CC1602">
        <w:rPr>
          <w:rFonts w:ascii="Times New Roman" w:hAnsi="Times New Roman"/>
          <w:lang w:val="en-US" w:eastAsia="zh-CN"/>
        </w:rPr>
        <w:t>R2-2309007</w:t>
      </w:r>
      <w:r w:rsidRPr="000F0996">
        <w:rPr>
          <w:rFonts w:ascii="Times New Roman" w:hAnsi="Times New Roman"/>
          <w:lang w:val="en-US" w:eastAsia="zh-CN"/>
        </w:rPr>
        <w:t xml:space="preserve">), </w:t>
      </w:r>
      <w:r w:rsidRPr="00CC1602">
        <w:rPr>
          <w:rFonts w:ascii="Times New Roman" w:hAnsi="Times New Roman"/>
          <w:lang w:val="en-US" w:eastAsia="zh-CN"/>
        </w:rPr>
        <w:t>Reply LS on XR capacity enhancements</w:t>
      </w:r>
      <w:r w:rsidRPr="000F0996">
        <w:rPr>
          <w:rFonts w:ascii="Times New Roman" w:hAnsi="Times New Roman"/>
          <w:lang w:val="en-US" w:eastAsia="zh-CN"/>
        </w:rPr>
        <w:t xml:space="preserve">, RAN2, </w:t>
      </w:r>
      <w:r>
        <w:rPr>
          <w:rFonts w:ascii="Times New Roman" w:hAnsi="Times New Roman"/>
          <w:lang w:val="en-US" w:eastAsia="zh-CN"/>
        </w:rPr>
        <w:t>MediaTek</w:t>
      </w:r>
    </w:p>
    <w:p w14:paraId="2F517F08" w14:textId="118F77C1" w:rsidR="00B413A4" w:rsidRPr="00A31359" w:rsidRDefault="00000000" w:rsidP="00A31359">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RAN1#113</w:t>
      </w:r>
    </w:p>
    <w:sectPr w:rsidR="00B413A4" w:rsidRPr="00A3135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E44A" w14:textId="77777777" w:rsidR="00DB7845" w:rsidRDefault="00DB7845">
      <w:pPr>
        <w:spacing w:before="0" w:after="0"/>
      </w:pPr>
      <w:r>
        <w:separator/>
      </w:r>
    </w:p>
  </w:endnote>
  <w:endnote w:type="continuationSeparator" w:id="0">
    <w:p w14:paraId="3907C831" w14:textId="77777777" w:rsidR="00DB7845" w:rsidRDefault="00DB78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8A452" w14:textId="77777777" w:rsidR="00DB7845" w:rsidRDefault="00DB7845">
      <w:pPr>
        <w:spacing w:before="0" w:after="0"/>
      </w:pPr>
      <w:r>
        <w:separator/>
      </w:r>
    </w:p>
  </w:footnote>
  <w:footnote w:type="continuationSeparator" w:id="0">
    <w:p w14:paraId="27DAE670" w14:textId="77777777" w:rsidR="00DB7845" w:rsidRDefault="00DB784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10"/>
  </w:num>
  <w:num w:numId="3" w16cid:durableId="222376712">
    <w:abstractNumId w:val="7"/>
  </w:num>
  <w:num w:numId="4" w16cid:durableId="567419565">
    <w:abstractNumId w:val="2"/>
    <w:lvlOverride w:ilvl="0">
      <w:startOverride w:val="1"/>
    </w:lvlOverride>
  </w:num>
  <w:num w:numId="5" w16cid:durableId="791898837">
    <w:abstractNumId w:val="9"/>
  </w:num>
  <w:num w:numId="6" w16cid:durableId="1032069791">
    <w:abstractNumId w:val="5"/>
  </w:num>
  <w:num w:numId="7" w16cid:durableId="1854105315">
    <w:abstractNumId w:val="8"/>
  </w:num>
  <w:num w:numId="8" w16cid:durableId="511383048">
    <w:abstractNumId w:val="6"/>
  </w:num>
  <w:num w:numId="9" w16cid:durableId="499463973">
    <w:abstractNumId w:val="4"/>
  </w:num>
  <w:num w:numId="10" w16cid:durableId="193004972">
    <w:abstractNumId w:val="0"/>
  </w:num>
  <w:num w:numId="11" w16cid:durableId="14685478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60B"/>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29D"/>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5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7C"/>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E7FC3"/>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238"/>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5B9"/>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94"/>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57E"/>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6CC"/>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5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95"/>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D7F82"/>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295"/>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1B6"/>
    <w:rsid w:val="009C08B6"/>
    <w:rsid w:val="009C0E67"/>
    <w:rsid w:val="009C1163"/>
    <w:rsid w:val="009C1578"/>
    <w:rsid w:val="009C174B"/>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9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2F97"/>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359"/>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1DA"/>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764"/>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49B"/>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7DF"/>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1EF"/>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46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E33"/>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02"/>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7F3"/>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AD0"/>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538"/>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094"/>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45"/>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paragraph" w:styleId="aff6">
    <w:name w:val="Revision"/>
    <w:hidden/>
    <w:uiPriority w:val="99"/>
    <w:semiHidden/>
    <w:rsid w:val="00CE27F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362</Words>
  <Characters>2067</Characters>
  <Application>Microsoft Office Word</Application>
  <DocSecurity>0</DocSecurity>
  <Lines>17</Lines>
  <Paragraphs>4</Paragraphs>
  <ScaleCrop>false</ScaleCrop>
  <Company>CMCC</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3994</cp:revision>
  <cp:lastPrinted>2013-04-02T02:18:00Z</cp:lastPrinted>
  <dcterms:created xsi:type="dcterms:W3CDTF">2019-08-16T08:26:00Z</dcterms:created>
  <dcterms:modified xsi:type="dcterms:W3CDTF">2023-09-28T03:26:00Z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